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pBdr>
        <w:spacing w:after="0" w:line="259" w:lineRule="auto"/>
        <w:rPr>
          <w:color w:val="000000"/>
        </w:rPr>
      </w:pPr>
      <w:r w:rsidDel="00000000" w:rsidR="00000000" w:rsidRPr="00000000">
        <w:rPr>
          <w:color w:val="000000"/>
          <w:sz w:val="22"/>
          <w:szCs w:val="22"/>
          <w:rtl w:val="0"/>
        </w:rPr>
        <w:t xml:space="preserve">ROSAC0198ZPB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sz w:val="22"/>
          <w:szCs w:val="22"/>
          <w:rtl w:val="0"/>
        </w:rPr>
        <w:t xml:space="preserve">Platoul Mehedinți</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99.0" w:type="dxa"/>
        <w:jc w:val="left"/>
        <w:tblInd w:w="-108.0" w:type="dxa"/>
        <w:tblLayout w:type="fixed"/>
        <w:tblLook w:val="0400"/>
      </w:tblPr>
      <w:tblGrid>
        <w:gridCol w:w="4500"/>
        <w:gridCol w:w="4499"/>
        <w:tblGridChange w:id="0">
          <w:tblGrid>
            <w:gridCol w:w="4500"/>
            <w:gridCol w:w="449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99.0" w:type="dxa"/>
        <w:jc w:val="left"/>
        <w:tblInd w:w="-108.0" w:type="dxa"/>
        <w:tblLayout w:type="fixed"/>
        <w:tblLook w:val="0400"/>
      </w:tblPr>
      <w:tblGrid>
        <w:gridCol w:w="4465"/>
        <w:gridCol w:w="4534"/>
        <w:tblGridChange w:id="0">
          <w:tblGrid>
            <w:gridCol w:w="4465"/>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spacing w:after="0" w:lineRule="auto"/>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rtl w:val="0"/>
        </w:rPr>
        <w:t xml:space="preserve">93,11</w:t>
      </w:r>
      <w:r w:rsidDel="00000000" w:rsidR="00000000" w:rsidRPr="00000000">
        <w:rPr>
          <w:rtl w:val="0"/>
        </w:rPr>
        <w:t xml:space="preserve"/>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sz w:val="22"/>
          <w:szCs w:val="22"/>
          <w:rtl w:val="0"/>
        </w:rPr>
        <w:t xml:space="preserve">0,17%</w:t>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Ind w:w="-108.0" w:type="dxa"/>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sz w:val="22"/>
          <w:szCs w:val="22"/>
          <w:rtl w:val="0"/>
        </w:rPr>
        <w:t xml:space="preserve">Gorj, Mehedinți</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Ind w:w="-108.0" w:type="dxa"/>
        <w:tblLayout w:type="fixed"/>
        <w:tblLook w:val="0400"/>
      </w:tblPr>
      <w:tblGrid>
        <w:gridCol w:w="2810"/>
        <w:gridCol w:w="236"/>
        <w:gridCol w:w="2881"/>
        <w:gridCol w:w="236"/>
        <w:gridCol w:w="2837"/>
        <w:tblGridChange w:id="0">
          <w:tblGrid>
            <w:gridCol w:w="2810"/>
            <w:gridCol w:w="236"/>
            <w:gridCol w:w="2881"/>
            <w:gridCol w:w="236"/>
            <w:gridCol w:w="2837"/>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rtl w:val="0"/>
        </w:rPr>
        <w:t xml:space="preserve">41,74</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8">
      <w:pPr>
        <w:pBdr>
          <w:left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9">
      <w:pPr>
        <w:pBdr>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color w:val="000000"/>
          <w:sz w:val="22"/>
          <w:szCs w:val="22"/>
          <w:rtl w:val="0"/>
        </w:rPr>
        <w:t xml:space="preserve">Ordinul ministrului mediului, apelor şi pădurilor nr. 1.198/2016 privind aprobarea Planului de management și a Regulamentului Geoparcului Platoul Mehedinți și al ariilor naturale protejate cu care se suprapune.</w:t>
      </w:r>
    </w:p>
    <w:p w:rsidR="00000000" w:rsidDel="00000000" w:rsidP="00000000" w:rsidRDefault="00000000" w:rsidRPr="00000000" w14:paraId="0000007A">
      <w:pPr>
        <w:pBdr>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99.0" w:type="dxa"/>
        <w:jc w:val="left"/>
        <w:tblInd w:w="-108.0" w:type="dxa"/>
        <w:tblLayout w:type="fixed"/>
        <w:tblLook w:val="0400"/>
      </w:tblPr>
      <w:tblGrid>
        <w:gridCol w:w="3077"/>
        <w:gridCol w:w="5922"/>
        <w:tblGridChange w:id="0">
          <w:tblGrid>
            <w:gridCol w:w="3077"/>
            <w:gridCol w:w="592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1">
            <w:pPr>
              <w:spacing w:after="0" w:lineRule="auto"/>
              <w:jc w:val="both"/>
              <w:rPr>
                <w:b w:val="1"/>
                <w:bCs w:val="1"/>
                <w:sz w:val="22"/>
                <w:szCs w:val="22"/>
              </w:rPr>
            </w:pPr>
            <w:r w:rsidDel="00000000" w:rsidR="00000000" w:rsidRPr="00000000">
              <w:rPr>
                <w:i w:val="1"/>
                <w:iCs w:val="1"/>
                <w:sz w:val="22"/>
                <w:szCs w:val="22"/>
                <w:rtl w:val="0"/>
              </w:rPr>
              <w:t xml:space="preserve">91V0</w:t>
            </w:r>
            <w:r w:rsidDel="00000000" w:rsidR="00000000" w:rsidRPr="00000000">
              <w:rPr>
                <w:rtl w:val="0"/>
              </w:rPr>
              <w:t xml:space="preserve"> </w:t>
            </w:r>
            <w:r w:rsidDel="00000000" w:rsidR="00000000" w:rsidRPr="00000000">
              <w:rPr>
                <w:i w:val="1"/>
                <w:iCs w:val="1"/>
                <w:sz w:val="22"/>
                <w:szCs w:val="22"/>
                <w:rtl w:val="0"/>
              </w:rPr>
              <w:t xml:space="preserve">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rPr>
            </w:pPr>
            <w:r w:rsidDel="00000000" w:rsidR="00000000" w:rsidRPr="00000000">
              <w:rPr>
                <w:b w:val="1"/>
                <w:bCs w:val="1"/>
                <w:rtl w:val="0"/>
              </w:rPr>
              <w:t xml:space="preserve">Mamifere: </w:t>
            </w:r>
          </w:p>
          <w:p w:rsidR="00000000" w:rsidDel="00000000" w:rsidP="00000000" w:rsidRDefault="00000000" w:rsidRPr="00000000" w14:paraId="00000084">
            <w:pPr>
              <w:spacing w:after="0" w:lineRule="auto"/>
              <w:rPr>
                <w:i w:val="1"/>
                <w:iCs w:val="1"/>
              </w:rPr>
            </w:pPr>
            <w:r w:rsidDel="00000000" w:rsidR="00000000" w:rsidRPr="00000000">
              <w:rPr>
                <w:i w:val="1"/>
                <w:iCs w:val="1"/>
                <w:rtl w:val="0"/>
              </w:rPr>
              <w:t xml:space="preserve">1352* Canis lupus</w:t>
            </w:r>
          </w:p>
          <w:p w:rsidR="00000000" w:rsidDel="00000000" w:rsidP="00000000" w:rsidRDefault="00000000" w:rsidRPr="00000000" w14:paraId="00000085">
            <w:pPr>
              <w:spacing w:after="0" w:lineRule="auto"/>
              <w:rPr>
                <w:i w:val="1"/>
                <w:iCs w:val="1"/>
              </w:rPr>
            </w:pPr>
            <w:r w:rsidDel="00000000" w:rsidR="00000000" w:rsidRPr="00000000">
              <w:rPr>
                <w:i w:val="1"/>
                <w:iCs w:val="1"/>
                <w:rtl w:val="0"/>
              </w:rPr>
              <w:t xml:space="preserve">1354 Ursus arctos</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4057 Chilostoma banaticum </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6908 Morimus asper funereus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0">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2">
            <w:pPr>
              <w:jc w:val="both"/>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7">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pBdr>
        <w:spacing w:line="259" w:lineRule="auto"/>
        <w:rPr/>
      </w:pPr>
      <w:r w:rsidDel="00000000" w:rsidR="00000000" w:rsidRPr="00000000">
        <w:rPr>
          <w:color w:val="000000"/>
          <w:sz w:val="22"/>
          <w:szCs w:val="22"/>
          <w:rtl w:val="0"/>
        </w:rPr>
        <w:t xml:space="preserve">51,37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A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E">
      <w:pPr>
        <w:pBdr>
          <w:top w:color="000000" w:space="0" w:sz="6" w:val="single"/>
          <w:left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 Monumentul naturii Peștera Lazului;</w:t>
      </w:r>
      <w:r w:rsidDel="00000000" w:rsidR="00000000" w:rsidRPr="00000000">
        <w:rPr>
          <w:rtl w:val="0"/>
        </w:rPr>
      </w:r>
    </w:p>
    <w:p w:rsidR="00000000" w:rsidDel="00000000" w:rsidP="00000000" w:rsidRDefault="00000000" w:rsidRPr="00000000" w14:paraId="000000AF">
      <w:pPr>
        <w:pBdr>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1.198/2016 privind aprobarea Planului de management și a Regulamentului Geoparcului Platoul Mehedinți și al ariilor naturale protejate cu care se suprapune;</w:t>
      </w:r>
    </w:p>
    <w:p w:rsidR="00000000" w:rsidDel="00000000" w:rsidP="00000000" w:rsidRDefault="00000000" w:rsidRPr="00000000" w14:paraId="000000B0">
      <w:pPr>
        <w:pBdr>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99.0" w:type="dxa"/>
        <w:jc w:val="left"/>
        <w:tblInd w:w="-108.0" w:type="dxa"/>
        <w:tblLayout w:type="fixed"/>
        <w:tblLook w:val="0400"/>
      </w:tblPr>
      <w:tblGrid>
        <w:gridCol w:w="3077"/>
        <w:gridCol w:w="5922"/>
        <w:tblGridChange w:id="0">
          <w:tblGrid>
            <w:gridCol w:w="3077"/>
            <w:gridCol w:w="592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7">
            <w:pPr>
              <w:spacing w:after="0" w:lineRule="auto"/>
              <w:jc w:val="both"/>
              <w:rPr>
                <w:i w:val="1"/>
                <w:iCs w:val="1"/>
                <w:sz w:val="22"/>
                <w:szCs w:val="22"/>
              </w:rPr>
            </w:pPr>
            <w:r w:rsidDel="00000000" w:rsidR="00000000" w:rsidRPr="00000000">
              <w:rPr>
                <w:i w:val="1"/>
                <w:iCs w:val="1"/>
                <w:sz w:val="22"/>
                <w:szCs w:val="22"/>
                <w:rtl w:val="0"/>
              </w:rPr>
              <w:t xml:space="preserve">9150 Păduri medio-europene de fag din Cephalanthero-Fagion pe substrate calcaroase </w:t>
            </w:r>
          </w:p>
          <w:p w:rsidR="00000000" w:rsidDel="00000000" w:rsidP="00000000" w:rsidRDefault="00000000" w:rsidRPr="00000000" w14:paraId="000000B8">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peșteri:</w:t>
            </w:r>
          </w:p>
          <w:p w:rsidR="00000000" w:rsidDel="00000000" w:rsidP="00000000" w:rsidRDefault="00000000" w:rsidRPr="00000000" w14:paraId="000000B9">
            <w:pPr>
              <w:spacing w:after="0" w:lineRule="auto"/>
              <w:jc w:val="both"/>
              <w:rPr>
                <w:i w:val="1"/>
                <w:iCs w:val="1"/>
                <w:sz w:val="22"/>
                <w:szCs w:val="22"/>
              </w:rPr>
            </w:pPr>
            <w:r w:rsidDel="00000000" w:rsidR="00000000" w:rsidRPr="00000000">
              <w:rPr>
                <w:i w:val="1"/>
                <w:iCs w:val="1"/>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 </w:t>
              <w:br w:type="textWrapping"/>
              <w:t xml:space="preserve">1352* Canis lupus</w:t>
              <w:br w:type="textWrapping"/>
              <w:t xml:space="preserve">1354 Ursus arctos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1310 Miniopterus schreibersi</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1323 Myotis bechsteini</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1316 Myotis</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capaccini</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1306 Rhinolophus blasii </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1305 Rhinolophus euryale </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C6">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4057 Chilostoma banaticum </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6908 Morimus asper funereus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jc w:val="both"/>
              <w:rPr>
                <w:sz w:val="22"/>
                <w:szCs w:val="22"/>
              </w:rPr>
            </w:pPr>
            <w:r w:rsidDel="00000000" w:rsidR="00000000" w:rsidRPr="00000000">
              <w:rPr>
                <w:sz w:val="22"/>
                <w:szCs w:val="22"/>
                <w:rtl w:val="0"/>
              </w:rPr>
              <w:t xml:space="preserve">Zona include ecosisteme forestiere și habitate subterane cu valoare conservativă ridicată, caracterizate prin condiții ecologice specifice și printr-un grad ridicat de vulnerabilitate la perturbări. Asocierea habitatelor forestiere bine conservate cu ecosistemele cavernicole contribuie la menținerea unei diversități biologice ridicate și a unor procese ecologice specifice mediului subteran și zonelor forestiere adiacente.</w:t>
            </w:r>
          </w:p>
          <w:p w:rsidR="00000000" w:rsidDel="00000000" w:rsidP="00000000" w:rsidRDefault="00000000" w:rsidRPr="00000000" w14:paraId="000000CD">
            <w:pPr>
              <w:spacing w:after="0" w:lineRule="auto"/>
              <w:jc w:val="both"/>
              <w:rPr>
                <w:sz w:val="22"/>
                <w:szCs w:val="22"/>
              </w:rPr>
            </w:pPr>
            <w:r w:rsidDel="00000000" w:rsidR="00000000" w:rsidRPr="00000000">
              <w:rPr>
                <w:sz w:val="22"/>
                <w:szCs w:val="22"/>
                <w:rtl w:val="0"/>
              </w:rPr>
              <w:t xml:space="preserve">Valoarea ecologică a zonei este susținută de rolul habitatelor subterane ca refugiu, zonă de reproducere și hibernare pentru numeroase specii de interes conservativ, precum și de existența unor ecosisteme forestiere care asigură condiții favorabile pentru menținerea biodiversității și a conectivității ecologice. Prezența arborilor maturi, a lemnului mort și a microhabitatelor naturale contribuie la conservarea unor specii asociate pădurilor bine conservate și ecosistemelor cavernicole.</w:t>
            </w:r>
          </w:p>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Importanța conservativă a zonei este evidențiată și de statutul de monument al naturii, care reflectă valoarea excepțională a patrimoniului natural și necesitatea protejării pe termen lung a elementelor biologice și geologice asociate.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Desemnarea ca ZPB se fundamentează pe criteriul stabilit de metodologie pentru monumentele naturii,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jc w:val="both"/>
              <w:rPr>
                <w:sz w:val="22"/>
                <w:szCs w:val="22"/>
              </w:rPr>
            </w:pPr>
            <w:r w:rsidDel="00000000" w:rsidR="00000000" w:rsidRPr="00000000">
              <w:rPr>
                <w:b w:val="1"/>
                <w:bCs w:val="1"/>
                <w:sz w:val="22"/>
                <w:szCs w:val="22"/>
                <w:rtl w:val="0"/>
              </w:rPr>
              <w:t xml:space="preserve">Obiective și măsuri în regim de non-intervenție pentru habitatele forestiere </w:t>
            </w:r>
            <w:r w:rsidDel="00000000" w:rsidR="00000000" w:rsidRPr="00000000">
              <w:rPr>
                <w:rtl w:val="0"/>
              </w:rPr>
            </w:r>
          </w:p>
          <w:p w:rsidR="00000000" w:rsidDel="00000000" w:rsidP="00000000" w:rsidRDefault="00000000" w:rsidRPr="00000000" w14:paraId="000000D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1">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E2">
            <w:pPr>
              <w:jc w:val="both"/>
              <w:rPr>
                <w:sz w:val="22"/>
                <w:szCs w:val="22"/>
              </w:rPr>
            </w:pPr>
            <w:r w:rsidDel="00000000" w:rsidR="00000000" w:rsidRPr="00000000">
              <w:rPr>
                <w:b w:val="1"/>
                <w:bCs w:val="1"/>
                <w:sz w:val="22"/>
                <w:szCs w:val="22"/>
                <w:rtl w:val="0"/>
              </w:rPr>
              <w:t xml:space="preserve">Obiective și măsuri de non-intervenție pentru ecosistemele de peșteră (Peștera Lazului – Clasa B)</w:t>
            </w:r>
            <w:r w:rsidDel="00000000" w:rsidR="00000000" w:rsidRPr="00000000">
              <w:rPr>
                <w:rtl w:val="0"/>
              </w:rPr>
            </w:r>
          </w:p>
          <w:p w:rsidR="00000000" w:rsidDel="00000000" w:rsidP="00000000" w:rsidRDefault="00000000" w:rsidRPr="00000000" w14:paraId="000000E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E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E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9">
      <w:pPr>
        <w:pBdr>
          <w:top w:color="000000" w:space="0" w:sz="6" w:val="single"/>
          <w:left w:color="000000" w:space="0" w:sz="6" w:val="single"/>
          <w:right w:color="000000" w:space="0" w:sz="6" w:val="single"/>
        </w:pBdr>
        <w:spacing w:after="0" w:line="259" w:lineRule="auto"/>
        <w:jc w:val="both"/>
        <w:rPr>
          <w:color w:val="000000"/>
          <w:sz w:val="22"/>
          <w:szCs w:val="22"/>
        </w:rPr>
      </w:pPr>
      <w:r w:rsidDel="00000000" w:rsidR="00000000" w:rsidRPr="00000000">
        <w:rPr>
          <w:color w:val="000000"/>
          <w:sz w:val="22"/>
          <w:szCs w:val="22"/>
          <w:rtl w:val="0"/>
        </w:rPr>
        <w:t xml:space="preserve">Boşcaiu N., 1971 – Flora şi vegetația munților Țarcu, Godeanu și Cernei. Edit. Academiei Române, București: 494 pp.</w:t>
      </w:r>
    </w:p>
    <w:p w:rsidR="00000000" w:rsidDel="00000000" w:rsidP="00000000" w:rsidRDefault="00000000" w:rsidRPr="00000000" w14:paraId="000000FA">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Doniță N., Popescu A., Paucă-Comănescu M., Mihăilescu S., Biriș I.A., 2005. Habitatele din România. Editura Tehnică Silvică, București.</w:t>
      </w:r>
    </w:p>
    <w:p w:rsidR="00000000" w:rsidDel="00000000" w:rsidP="00000000" w:rsidRDefault="00000000" w:rsidRPr="00000000" w14:paraId="000000FB">
      <w:pPr>
        <w:pBdr>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Doniță, N., Ceianu, I., Purcelean, Ş., &amp; Beldie, A. (1977). Ecologie forestieră:(cu elemente de ecologie generală). Ceres.</w:t>
      </w:r>
    </w:p>
    <w:p w:rsidR="00000000" w:rsidDel="00000000" w:rsidP="00000000" w:rsidRDefault="00000000" w:rsidRPr="00000000" w14:paraId="000000FC">
      <w:pPr>
        <w:pBdr>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Gafta D. &amp; Mountford J.O. 2008 - “Manual de interpretare a habitatelor Natura 2000 din Romania”, Ed. RISOPRINT, editor M.M.D.D.</w:t>
      </w:r>
    </w:p>
    <w:p w:rsidR="00000000" w:rsidDel="00000000" w:rsidP="00000000" w:rsidRDefault="00000000" w:rsidRPr="00000000" w14:paraId="000000FD">
      <w:pPr>
        <w:spacing w:after="0" w:lineRule="auto"/>
        <w:rPr/>
      </w:pPr>
      <w:r w:rsidDel="00000000" w:rsidR="00000000" w:rsidRPr="00000000">
        <w:rPr>
          <w:rtl w:val="0"/>
        </w:rPr>
      </w:r>
    </w:p>
    <w:p w:rsidR="00000000" w:rsidDel="00000000" w:rsidP="00000000" w:rsidRDefault="00000000" w:rsidRPr="00000000" w14:paraId="000000FE">
      <w:pPr>
        <w:spacing w:after="0" w:lineRule="auto"/>
        <w:rPr/>
      </w:pPr>
      <w:r w:rsidDel="00000000" w:rsidR="00000000" w:rsidRPr="00000000">
        <w:rPr>
          <w:rtl w:val="0"/>
        </w:rPr>
      </w:r>
    </w:p>
    <w:p w:rsidR="00000000" w:rsidDel="00000000" w:rsidP="00000000" w:rsidRDefault="00000000" w:rsidRPr="00000000" w14:paraId="000000F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0">
      <w:pPr>
        <w:spacing w:after="0" w:lineRule="auto"/>
        <w:rPr/>
      </w:pPr>
      <w:r w:rsidDel="00000000" w:rsidR="00000000" w:rsidRPr="00000000">
        <w:rPr>
          <w:rtl w:val="0"/>
        </w:rPr>
      </w:r>
    </w:p>
    <w:p w:rsidR="00000000" w:rsidDel="00000000" w:rsidP="00000000" w:rsidRDefault="00000000" w:rsidRPr="00000000" w14:paraId="0000010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2">
      <w:pPr>
        <w:pBdr>
          <w:top w:color="000000" w:space="0" w:sz="6" w:val="single"/>
          <w:left w:color="000000" w:space="0" w:sz="6" w:val="single"/>
          <w:right w:color="000000" w:space="0" w:sz="6" w:val="single"/>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16 octombrie 2024 – Drobeta Turnu-Severin, 13 noiembrie 2024 - Târgu Jiu, 13 decembrie 2024 - 13 februarie 2025 - consultări UAT-uri jud. Gorj (Runcu, Polovragi, Bumbești-Jiu, Stănești, Padeș, Novaci, Peștișani, Crasna, Mușetești, Bâlteni, Tismana), 12 martie 2025 - DS Gorj, 7-8 mai 2025 – DS Mehedinți.</w:t>
      </w:r>
    </w:p>
    <w:p w:rsidR="00000000" w:rsidDel="00000000" w:rsidP="00000000" w:rsidRDefault="00000000" w:rsidRPr="00000000" w14:paraId="00000103">
      <w:pPr>
        <w:pBdr>
          <w:left w:color="000000" w:space="0" w:sz="6" w:val="single"/>
          <w:bottom w:color="000000" w:space="0" w:sz="6" w:val="single"/>
          <w:right w:color="000000" w:space="0" w:sz="6" w:val="single"/>
        </w:pBdr>
        <w:spacing w:after="0" w:line="259" w:lineRule="auto"/>
        <w:jc w:val="both"/>
        <w:rPr>
          <w:color w:val="000000"/>
          <w:sz w:val="22"/>
          <w:szCs w:val="22"/>
        </w:rPr>
      </w:pPr>
      <w:r w:rsidDel="00000000" w:rsidR="00000000" w:rsidRPr="00000000">
        <w:rPr>
          <w:sz w:val="22"/>
          <w:szCs w:val="22"/>
          <w:rtl w:val="0"/>
        </w:rPr>
        <w:t xml:space="preserve">Ulterior, în cadrul procesului de consultare extins la nivel național, au avut loc consultări suplimentare online în data de</w:t>
      </w:r>
      <w:r w:rsidDel="00000000" w:rsidR="00000000" w:rsidRPr="00000000">
        <w:rPr>
          <w:rtl w:val="0"/>
        </w:rPr>
        <w:t xml:space="preserve"> </w:t>
      </w:r>
      <w:r w:rsidDel="00000000" w:rsidR="00000000" w:rsidRPr="00000000">
        <w:rPr>
          <w:b w:val="1"/>
          <w:bCs w:val="1"/>
          <w:sz w:val="22"/>
          <w:szCs w:val="22"/>
          <w:rtl w:val="0"/>
        </w:rPr>
        <w:t xml:space="preserve">12 decembrie 2025</w:t>
      </w:r>
      <w:r w:rsidDel="00000000" w:rsidR="00000000" w:rsidRPr="00000000">
        <w:rPr>
          <w:sz w:val="22"/>
          <w:szCs w:val="22"/>
          <w:rtl w:val="0"/>
        </w:rPr>
        <w:t xml:space="preserve"> cu participarea factorilor interesați relevanți din județul </w:t>
      </w:r>
      <w:r w:rsidDel="00000000" w:rsidR="00000000" w:rsidRPr="00000000">
        <w:rPr>
          <w:color w:val="000000"/>
          <w:sz w:val="22"/>
          <w:szCs w:val="22"/>
          <w:rtl w:val="0"/>
        </w:rPr>
        <w:t xml:space="preserve">Gorj și </w:t>
      </w:r>
      <w:r w:rsidDel="00000000" w:rsidR="00000000" w:rsidRPr="00000000">
        <w:rPr>
          <w:sz w:val="22"/>
          <w:szCs w:val="22"/>
          <w:rtl w:val="0"/>
        </w:rPr>
        <w:t xml:space="preserve">în data de</w:t>
      </w:r>
      <w:r w:rsidDel="00000000" w:rsidR="00000000" w:rsidRPr="00000000">
        <w:rPr>
          <w:rtl w:val="0"/>
        </w:rPr>
        <w:t xml:space="preserve"> </w:t>
      </w:r>
      <w:r w:rsidDel="00000000" w:rsidR="00000000" w:rsidRPr="00000000">
        <w:rPr>
          <w:b w:val="1"/>
          <w:bCs w:val="1"/>
          <w:sz w:val="22"/>
          <w:szCs w:val="22"/>
          <w:rtl w:val="0"/>
        </w:rPr>
        <w:t xml:space="preserve">28 ianuarie 2026</w:t>
      </w:r>
      <w:r w:rsidDel="00000000" w:rsidR="00000000" w:rsidRPr="00000000">
        <w:rPr>
          <w:sz w:val="22"/>
          <w:szCs w:val="22"/>
          <w:rtl w:val="0"/>
        </w:rPr>
        <w:t xml:space="preserve"> cu participarea factorilor interesați relevanți din județul </w:t>
      </w:r>
      <w:r w:rsidDel="00000000" w:rsidR="00000000" w:rsidRPr="00000000">
        <w:rPr>
          <w:color w:val="000000"/>
          <w:sz w:val="22"/>
          <w:szCs w:val="22"/>
          <w:rtl w:val="0"/>
        </w:rPr>
        <w:t xml:space="preserve">Mehedinți</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104">
      <w:pPr>
        <w:spacing w:after="0" w:lineRule="auto"/>
        <w:rPr/>
      </w:pPr>
      <w:r w:rsidDel="00000000" w:rsidR="00000000" w:rsidRPr="00000000">
        <w:rPr>
          <w:rtl w:val="0"/>
        </w:rPr>
      </w:r>
    </w:p>
    <w:p w:rsidR="00000000" w:rsidDel="00000000" w:rsidP="00000000" w:rsidRDefault="00000000" w:rsidRPr="00000000" w14:paraId="00000105">
      <w:pPr>
        <w:spacing w:after="0" w:lineRule="auto"/>
        <w:rPr/>
      </w:pPr>
      <w:r w:rsidDel="00000000" w:rsidR="00000000" w:rsidRPr="00000000">
        <w:rPr>
          <w:rtl w:val="0"/>
        </w:rPr>
      </w:r>
    </w:p>
    <w:p w:rsidR="00000000" w:rsidDel="00000000" w:rsidP="00000000" w:rsidRDefault="00000000" w:rsidRPr="00000000" w14:paraId="00000106">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7">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8">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09">
      <w:pPr>
        <w:spacing w:after="0" w:lineRule="auto"/>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E1NeJo5YHolT5POWdenG7hPpw==">CgMxLjA4AHIhMXBzOGZwcy15S2tpZlgtTWY4X201ckhQbjJ2eWU5YW9N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